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ind w:firstLine="640" w:firstLineChars="200"/>
        <w:rPr>
          <w:rFonts w:hint="eastAsia" w:ascii="仿宋_GB2312" w:eastAsia="仿宋_GB2312"/>
          <w:sz w:val="32"/>
        </w:rPr>
      </w:pPr>
    </w:p>
    <w:p>
      <w:pPr>
        <w:spacing w:line="620" w:lineRule="exact"/>
        <w:ind w:firstLine="640" w:firstLineChars="200"/>
        <w:rPr>
          <w:rFonts w:hint="eastAsia" w:ascii="仿宋_GB2312" w:eastAsia="仿宋_GB2312"/>
          <w:sz w:val="32"/>
        </w:rPr>
      </w:pPr>
    </w:p>
    <w:p>
      <w:pPr>
        <w:spacing w:line="620" w:lineRule="exact"/>
        <w:ind w:firstLine="640" w:firstLineChars="200"/>
        <w:rPr>
          <w:rFonts w:hint="eastAsia" w:ascii="仿宋_GB2312" w:eastAsia="仿宋_GB2312"/>
          <w:sz w:val="32"/>
        </w:rPr>
      </w:pPr>
    </w:p>
    <w:p>
      <w:pPr>
        <w:spacing w:line="560" w:lineRule="exact"/>
        <w:jc w:val="center"/>
        <w:rPr>
          <w:rFonts w:hint="eastAsia" w:ascii="仿宋_GB2312" w:eastAsia="仿宋_GB2312"/>
          <w:sz w:val="32"/>
        </w:rPr>
      </w:pPr>
      <w:r>
        <w:rPr>
          <w:rFonts w:hint="eastAsia" w:ascii="仿宋_GB2312" w:eastAsia="仿宋_GB2312"/>
          <w:sz w:val="32"/>
        </w:rPr>
        <w:pict>
          <v:rect id="文本框5" o:spid="_x0000_s1026" o:spt="1" style="position:absolute;left:0pt;margin-left:6pt;margin-top:1.9pt;height:70.6pt;width:441.5pt;mso-wrap-distance-bottom:0pt;mso-wrap-distance-left:9pt;mso-wrap-distance-right:9pt;mso-wrap-distance-top:0pt;z-index:251659264;mso-width-relative:page;mso-height-relative:page;" stroked="f" coordsize="21600,21600">
            <v:path/>
            <v:fill focussize="0,0"/>
            <v:stroke on="f"/>
            <v:imagedata o:title=""/>
            <o:lock v:ext="edit" grouping="f" rotation="f" text="f" aspectratio="f"/>
            <v:textbox>
              <w:txbxContent>
                <w:p>
                  <w:pPr>
                    <w:jc w:val="center"/>
                    <w:rPr>
                      <w:rFonts w:hint="eastAsia" w:ascii="方正小标宋简体" w:hAnsi="方正小标宋简体" w:eastAsia="方正小标宋简体" w:cs="方正小标宋简体"/>
                      <w:bCs/>
                      <w:color w:val="FF0000"/>
                      <w:spacing w:val="23"/>
                      <w:sz w:val="90"/>
                      <w:szCs w:val="90"/>
                    </w:rPr>
                  </w:pPr>
                  <w:r>
                    <w:rPr>
                      <w:rFonts w:hint="eastAsia" w:ascii="方正小标宋简体" w:hAnsi="方正小标宋简体" w:eastAsia="方正小标宋简体" w:cs="方正小标宋简体"/>
                      <w:bCs/>
                      <w:color w:val="FF0000"/>
                      <w:spacing w:val="23"/>
                      <w:sz w:val="90"/>
                      <w:szCs w:val="90"/>
                    </w:rPr>
                    <w:t>新 余 学 院 文 件</w:t>
                  </w:r>
                </w:p>
              </w:txbxContent>
            </v:textbox>
            <w10:wrap type="square"/>
          </v:rect>
        </w:pict>
      </w:r>
    </w:p>
    <w:p>
      <w:pPr>
        <w:spacing w:line="560" w:lineRule="exact"/>
        <w:jc w:val="center"/>
        <w:rPr>
          <w:rFonts w:hint="eastAsia" w:ascii="仿宋_GB2312" w:eastAsia="仿宋_GB2312"/>
          <w:sz w:val="32"/>
        </w:rPr>
      </w:pPr>
      <w:bookmarkStart w:id="0" w:name="文号"/>
    </w:p>
    <w:p>
      <w:pPr>
        <w:spacing w:line="560" w:lineRule="exact"/>
        <w:jc w:val="center"/>
        <w:rPr>
          <w:rFonts w:hint="eastAsia" w:ascii="仿宋_GB2312" w:eastAsia="仿宋_GB2312"/>
          <w:sz w:val="32"/>
        </w:rPr>
      </w:pPr>
      <w:r>
        <w:rPr>
          <w:rFonts w:hint="eastAsia" w:ascii="仿宋_GB2312" w:eastAsia="仿宋_GB2312"/>
          <w:sz w:val="32"/>
        </w:rPr>
        <w:t>余学院发〔2019〕22号</w:t>
      </w:r>
      <w:bookmarkEnd w:id="0"/>
    </w:p>
    <w:p>
      <w:pPr>
        <w:spacing w:line="460" w:lineRule="exact"/>
        <w:ind w:firstLine="420" w:firstLineChars="200"/>
        <w:rPr>
          <w:rFonts w:hint="eastAsia" w:ascii="仿宋_GB2312" w:eastAsia="仿宋_GB2312"/>
          <w:sz w:val="32"/>
        </w:rPr>
      </w:pPr>
      <w:r>
        <w:pict>
          <v:line id="_x0000_s1027" o:spid="_x0000_s1027" o:spt="20" style="position:absolute;left:0pt;margin-left:10.7pt;margin-top:7.15pt;height:0.05pt;width:416.25pt;z-index:251658240;mso-width-relative:page;mso-height-relative:page;" filled="f" stroked="t" coordsize="21600,21600">
            <v:path arrowok="t"/>
            <v:fill on="f" focussize="0,0"/>
            <v:stroke weight="2pt" color="#FF0000"/>
            <v:imagedata o:title=""/>
            <o:lock v:ext="edit" grouping="f" rotation="f" text="f" aspectratio="f"/>
          </v:line>
        </w:pict>
      </w:r>
    </w:p>
    <w:p>
      <w:pPr>
        <w:tabs>
          <w:tab w:val="left" w:pos="6855"/>
        </w:tabs>
        <w:spacing w:line="560" w:lineRule="exact"/>
        <w:ind w:firstLine="640" w:firstLineChars="200"/>
        <w:rPr>
          <w:rFonts w:ascii="仿宋_GB2312" w:eastAsia="仿宋_GB2312"/>
          <w:color w:val="000000"/>
          <w:sz w:val="32"/>
        </w:rPr>
      </w:pPr>
    </w:p>
    <w:p>
      <w:pPr>
        <w:tabs>
          <w:tab w:val="left" w:pos="6855"/>
        </w:tabs>
        <w:spacing w:line="560" w:lineRule="exact"/>
        <w:ind w:firstLine="640" w:firstLineChars="200"/>
        <w:rPr>
          <w:rFonts w:hint="eastAsia" w:ascii="仿宋_GB2312" w:eastAsia="仿宋_GB2312"/>
          <w:color w:val="000000"/>
          <w:sz w:val="32"/>
        </w:rPr>
      </w:pPr>
      <w:r>
        <w:rPr>
          <w:rFonts w:ascii="仿宋_GB2312" w:eastAsia="仿宋_GB2312"/>
          <w:color w:val="000000"/>
          <w:sz w:val="32"/>
        </w:rPr>
        <w:tab/>
      </w:r>
    </w:p>
    <w:p>
      <w:pPr>
        <w:spacing w:line="560" w:lineRule="exact"/>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新余学院关于印发《新余学院教研室</w:t>
      </w:r>
    </w:p>
    <w:p>
      <w:pPr>
        <w:spacing w:line="560" w:lineRule="exact"/>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管理办法（修订稿）》的通知</w:t>
      </w:r>
    </w:p>
    <w:p>
      <w:pPr>
        <w:jc w:val="center"/>
        <w:rPr>
          <w:rFonts w:ascii="仿宋" w:hAnsi="仿宋" w:eastAsia="仿宋"/>
          <w:sz w:val="32"/>
          <w:szCs w:val="32"/>
        </w:rPr>
      </w:pPr>
    </w:p>
    <w:p>
      <w:pPr>
        <w:spacing w:line="560" w:lineRule="exact"/>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各二级学院、各部门：</w:t>
      </w:r>
    </w:p>
    <w:p>
      <w:pPr>
        <w:spacing w:line="56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经学校研究同意，现将《新余学院教研室管理办法（修订稿）》印发给大家，请认真遵照执行。</w:t>
      </w:r>
    </w:p>
    <w:p>
      <w:pPr>
        <w:spacing w:line="560" w:lineRule="exact"/>
        <w:rPr>
          <w:rFonts w:hint="eastAsia" w:ascii="楷体_GB2312" w:hAnsi="楷体_GB2312" w:eastAsia="楷体_GB2312" w:cs="楷体_GB2312"/>
          <w:sz w:val="32"/>
          <w:szCs w:val="32"/>
        </w:rPr>
      </w:pPr>
    </w:p>
    <w:p>
      <w:pPr>
        <w:spacing w:line="560" w:lineRule="exact"/>
        <w:rPr>
          <w:rFonts w:hint="eastAsia" w:ascii="楷体_GB2312" w:hAnsi="楷体_GB2312" w:eastAsia="楷体_GB2312" w:cs="楷体_GB2312"/>
          <w:sz w:val="32"/>
          <w:szCs w:val="32"/>
        </w:rPr>
      </w:pPr>
    </w:p>
    <w:p>
      <w:pPr>
        <w:spacing w:line="560" w:lineRule="exact"/>
        <w:ind w:firstLine="5440" w:firstLineChars="17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新余学院</w:t>
      </w:r>
    </w:p>
    <w:p>
      <w:pPr>
        <w:spacing w:line="560" w:lineRule="exact"/>
        <w:ind w:firstLine="4800" w:firstLineChars="1500"/>
        <w:rPr>
          <w:rFonts w:hint="eastAsia" w:ascii="仿宋" w:hAnsi="仿宋" w:eastAsia="仿宋"/>
          <w:sz w:val="32"/>
          <w:szCs w:val="32"/>
        </w:rPr>
      </w:pPr>
      <w:r>
        <w:rPr>
          <w:rFonts w:hint="eastAsia" w:ascii="楷体_GB2312" w:hAnsi="楷体_GB2312" w:eastAsia="楷体_GB2312" w:cs="楷体_GB2312"/>
          <w:sz w:val="32"/>
          <w:szCs w:val="32"/>
        </w:rPr>
        <w:t>2019年12月23日</w:t>
      </w:r>
    </w:p>
    <w:p>
      <w:pPr>
        <w:pStyle w:val="9"/>
        <w:shd w:val="clear" w:color="auto" w:fill="FFFFFF"/>
        <w:spacing w:beforeAutospacing="0" w:afterAutospacing="0" w:line="560" w:lineRule="exact"/>
        <w:ind w:firstLine="448"/>
        <w:jc w:val="center"/>
        <w:rPr>
          <w:rStyle w:val="12"/>
          <w:rFonts w:hint="eastAsia" w:ascii="方正小标宋简体" w:hAnsi="方正小标宋简体" w:eastAsia="方正小标宋简体" w:cs="方正小标宋简体"/>
          <w:b w:val="0"/>
          <w:bCs/>
          <w:color w:val="000000"/>
          <w:sz w:val="44"/>
          <w:szCs w:val="44"/>
          <w:shd w:val="clear" w:color="auto" w:fill="FFFFFF"/>
        </w:rPr>
      </w:pPr>
    </w:p>
    <w:p>
      <w:pPr>
        <w:spacing w:line="560" w:lineRule="exact"/>
        <w:jc w:val="center"/>
        <w:rPr>
          <w:rFonts w:hint="eastAsia" w:ascii="方正小标宋简体" w:hAnsi="方正小标宋简体" w:eastAsia="方正小标宋简体" w:cs="方正小标宋简体"/>
          <w:sz w:val="44"/>
          <w:szCs w:val="44"/>
        </w:rPr>
      </w:pPr>
    </w:p>
    <w:p>
      <w:pPr>
        <w:spacing w:line="560" w:lineRule="exact"/>
        <w:jc w:val="center"/>
        <w:rPr>
          <w:rFonts w:hint="eastAsia" w:ascii="方正小标宋简体" w:hAnsi="方正小标宋简体" w:eastAsia="方正小标宋简体" w:cs="方正小标宋简体"/>
          <w:sz w:val="44"/>
          <w:szCs w:val="44"/>
        </w:rPr>
      </w:pPr>
    </w:p>
    <w:p>
      <w:pPr>
        <w:spacing w:line="560" w:lineRule="exact"/>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新余学院教研室管理办法</w:t>
      </w:r>
    </w:p>
    <w:p>
      <w:pPr>
        <w:spacing w:line="560" w:lineRule="exact"/>
        <w:jc w:val="center"/>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（修订稿）</w:t>
      </w:r>
    </w:p>
    <w:p>
      <w:pPr>
        <w:spacing w:line="560" w:lineRule="exact"/>
        <w:jc w:val="center"/>
        <w:rPr>
          <w:rFonts w:hint="eastAsia" w:ascii="楷体_GB2312" w:hAnsi="楷体_GB2312" w:eastAsia="楷体_GB2312" w:cs="楷体_GB2312"/>
          <w:bCs/>
          <w:sz w:val="32"/>
          <w:szCs w:val="32"/>
        </w:rPr>
      </w:pPr>
    </w:p>
    <w:p>
      <w:pPr>
        <w:pStyle w:val="4"/>
        <w:spacing w:line="560" w:lineRule="exact"/>
        <w:ind w:firstLine="640"/>
        <w:rPr>
          <w:rFonts w:hint="eastAsia" w:ascii="黑体" w:hAnsi="黑体" w:eastAsia="黑体" w:cs="黑体"/>
          <w:bCs/>
          <w:snapToGrid w:val="0"/>
          <w:kern w:val="0"/>
          <w:sz w:val="32"/>
          <w:szCs w:val="32"/>
        </w:rPr>
      </w:pPr>
      <w:r>
        <w:rPr>
          <w:rFonts w:hint="eastAsia" w:ascii="黑体" w:hAnsi="黑体" w:eastAsia="黑体" w:cs="黑体"/>
          <w:bCs/>
          <w:snapToGrid w:val="0"/>
          <w:kern w:val="0"/>
          <w:sz w:val="32"/>
          <w:szCs w:val="32"/>
        </w:rPr>
        <w:t>第一章 总 则</w:t>
      </w:r>
    </w:p>
    <w:p>
      <w:pPr>
        <w:pStyle w:val="4"/>
        <w:spacing w:line="560" w:lineRule="exact"/>
        <w:ind w:firstLine="640"/>
        <w:jc w:val="both"/>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b/>
          <w:snapToGrid w:val="0"/>
          <w:kern w:val="0"/>
          <w:sz w:val="32"/>
          <w:szCs w:val="32"/>
        </w:rPr>
        <w:t xml:space="preserve">第一条 </w:t>
      </w:r>
      <w:r>
        <w:rPr>
          <w:rFonts w:hint="eastAsia" w:ascii="仿宋_GB2312" w:hAnsi="仿宋_GB2312" w:eastAsia="仿宋_GB2312" w:cs="仿宋_GB2312"/>
          <w:snapToGrid w:val="0"/>
          <w:kern w:val="0"/>
          <w:sz w:val="32"/>
          <w:szCs w:val="32"/>
        </w:rPr>
        <w:t xml:space="preserve"> 教研室是按专业或公共课程设置的教学研究基层组织，在二级学院（中心）负责人领导下，具体承担人才培养方案的制订、课程教学大纲的制定和实施、教学研究与改革、</w:t>
      </w:r>
    </w:p>
    <w:p>
      <w:pPr>
        <w:pStyle w:val="4"/>
        <w:spacing w:line="560" w:lineRule="exact"/>
        <w:ind w:firstLine="0" w:firstLineChars="0"/>
        <w:jc w:val="both"/>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snapToGrid w:val="0"/>
          <w:kern w:val="0"/>
          <w:sz w:val="32"/>
          <w:szCs w:val="32"/>
        </w:rPr>
        <w:t>实习安排和指导、课程与教材建设等基础工作。</w:t>
      </w:r>
    </w:p>
    <w:p>
      <w:pPr>
        <w:pStyle w:val="4"/>
        <w:spacing w:line="560" w:lineRule="exact"/>
        <w:ind w:firstLine="640"/>
        <w:jc w:val="left"/>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b/>
          <w:snapToGrid w:val="0"/>
          <w:kern w:val="0"/>
          <w:sz w:val="32"/>
          <w:szCs w:val="32"/>
        </w:rPr>
        <w:t>第二条</w:t>
      </w:r>
      <w:r>
        <w:rPr>
          <w:rFonts w:hint="eastAsia" w:ascii="仿宋_GB2312" w:hAnsi="仿宋_GB2312" w:eastAsia="仿宋_GB2312" w:cs="仿宋_GB2312"/>
          <w:snapToGrid w:val="0"/>
          <w:kern w:val="0"/>
          <w:sz w:val="32"/>
          <w:szCs w:val="32"/>
        </w:rPr>
        <w:t xml:space="preserve">  教研室的各项活动是学校教学管理的基本环节和重要组成部分，起着十分重要的基础性作用。为了充分发挥教研室在教学组织与管理和教学研究工作中的积极作用，使教学研究工作规范化、制度化，不断提高我校教学质量，特制定本办法。</w:t>
      </w:r>
    </w:p>
    <w:p>
      <w:pPr>
        <w:pStyle w:val="4"/>
        <w:spacing w:line="560" w:lineRule="exact"/>
        <w:ind w:firstLine="640"/>
        <w:rPr>
          <w:rFonts w:hint="eastAsia" w:ascii="黑体" w:hAnsi="黑体" w:eastAsia="黑体" w:cs="黑体"/>
          <w:bCs/>
          <w:snapToGrid w:val="0"/>
          <w:kern w:val="0"/>
          <w:sz w:val="32"/>
          <w:szCs w:val="32"/>
        </w:rPr>
      </w:pPr>
      <w:r>
        <w:rPr>
          <w:rFonts w:hint="eastAsia" w:ascii="黑体" w:hAnsi="黑体" w:eastAsia="黑体" w:cs="黑体"/>
          <w:bCs/>
          <w:snapToGrid w:val="0"/>
          <w:kern w:val="0"/>
          <w:sz w:val="32"/>
          <w:szCs w:val="32"/>
        </w:rPr>
        <w:t>第二章 教研室的设立与调整</w:t>
      </w:r>
    </w:p>
    <w:p>
      <w:pPr>
        <w:pStyle w:val="4"/>
        <w:spacing w:line="560" w:lineRule="exact"/>
        <w:ind w:firstLine="640"/>
        <w:jc w:val="left"/>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b/>
          <w:snapToGrid w:val="0"/>
          <w:kern w:val="0"/>
          <w:sz w:val="32"/>
          <w:szCs w:val="32"/>
        </w:rPr>
        <w:t>第三条</w:t>
      </w:r>
      <w:r>
        <w:rPr>
          <w:rFonts w:hint="eastAsia" w:ascii="仿宋_GB2312" w:hAnsi="仿宋_GB2312" w:eastAsia="仿宋_GB2312" w:cs="仿宋_GB2312"/>
          <w:snapToGrid w:val="0"/>
          <w:kern w:val="0"/>
          <w:sz w:val="32"/>
          <w:szCs w:val="32"/>
        </w:rPr>
        <w:t xml:space="preserve">  教研室按照专业性和课程性的原则，在本科专业或同一学科（专业）的相同、相近课程组群设立，并按专业归属或课程归属相应的二级学院（中心），不在机关部门设教研室。</w:t>
      </w:r>
    </w:p>
    <w:p>
      <w:pPr>
        <w:pStyle w:val="4"/>
        <w:spacing w:line="560" w:lineRule="exact"/>
        <w:ind w:firstLine="640"/>
        <w:jc w:val="left"/>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b/>
          <w:snapToGrid w:val="0"/>
          <w:kern w:val="0"/>
          <w:sz w:val="32"/>
          <w:szCs w:val="32"/>
        </w:rPr>
        <w:t>第四条</w:t>
      </w:r>
      <w:r>
        <w:rPr>
          <w:rFonts w:hint="eastAsia" w:ascii="仿宋_GB2312" w:hAnsi="仿宋_GB2312" w:eastAsia="仿宋_GB2312" w:cs="仿宋_GB2312"/>
          <w:snapToGrid w:val="0"/>
          <w:kern w:val="0"/>
          <w:sz w:val="32"/>
          <w:szCs w:val="32"/>
        </w:rPr>
        <w:t xml:space="preserve">  每个教研室原则上需由5人以上的专任教师组成，每个教研室设置主任一名。专业招生规模小或课程任课教师（不含外聘教师）人数不足5人的，可视情况暂时合并到相近专业教研室或公共课程教研室中。“双肩挑”教师必须按业务关系或专业方向归属到相关教研室。</w:t>
      </w:r>
    </w:p>
    <w:p>
      <w:pPr>
        <w:pStyle w:val="4"/>
        <w:spacing w:line="560" w:lineRule="exact"/>
        <w:ind w:firstLine="640"/>
        <w:jc w:val="left"/>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b/>
          <w:snapToGrid w:val="0"/>
          <w:kern w:val="0"/>
          <w:sz w:val="32"/>
          <w:szCs w:val="32"/>
        </w:rPr>
        <w:t>第五条</w:t>
      </w:r>
      <w:r>
        <w:rPr>
          <w:rFonts w:hint="eastAsia" w:ascii="仿宋_GB2312" w:hAnsi="仿宋_GB2312" w:eastAsia="仿宋_GB2312" w:cs="仿宋_GB2312"/>
          <w:snapToGrid w:val="0"/>
          <w:kern w:val="0"/>
          <w:sz w:val="32"/>
          <w:szCs w:val="32"/>
        </w:rPr>
        <w:t xml:space="preserve">  </w:t>
      </w:r>
      <w:r>
        <w:rPr>
          <w:rFonts w:hint="eastAsia" w:ascii="仿宋_GB2312" w:hAnsi="仿宋_GB2312" w:eastAsia="仿宋_GB2312" w:cs="仿宋_GB2312"/>
          <w:sz w:val="32"/>
          <w:szCs w:val="32"/>
        </w:rPr>
        <w:t>教研室的调整应遵循保持相对稳定原则，二级学院（中心）应根据专业发展情况（新增专业、撤销专业、招生规模、专业教师人数等）及时对教研室进行相应的增加、撤销、合并等动态调整</w:t>
      </w:r>
      <w:r>
        <w:rPr>
          <w:rFonts w:hint="eastAsia" w:ascii="仿宋_GB2312" w:hAnsi="仿宋_GB2312" w:eastAsia="仿宋_GB2312" w:cs="仿宋_GB2312"/>
          <w:snapToGrid w:val="0"/>
          <w:kern w:val="0"/>
          <w:sz w:val="32"/>
          <w:szCs w:val="32"/>
        </w:rPr>
        <w:t>。</w:t>
      </w:r>
    </w:p>
    <w:p>
      <w:pPr>
        <w:pStyle w:val="4"/>
        <w:spacing w:line="560" w:lineRule="exact"/>
        <w:ind w:firstLine="640"/>
        <w:jc w:val="left"/>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b/>
          <w:snapToGrid w:val="0"/>
          <w:kern w:val="0"/>
          <w:sz w:val="32"/>
          <w:szCs w:val="32"/>
        </w:rPr>
        <w:t>第六条</w:t>
      </w:r>
      <w:r>
        <w:rPr>
          <w:rFonts w:hint="eastAsia" w:ascii="仿宋_GB2312" w:hAnsi="仿宋_GB2312" w:eastAsia="仿宋_GB2312" w:cs="仿宋_GB2312"/>
          <w:snapToGrid w:val="0"/>
          <w:kern w:val="0"/>
          <w:sz w:val="32"/>
          <w:szCs w:val="32"/>
        </w:rPr>
        <w:t xml:space="preserve">  教研室的设立与调整由二级学院（中心）根据相关办法进行审核认定，再报教务处与人事处进行审批、备案。</w:t>
      </w:r>
    </w:p>
    <w:p>
      <w:pPr>
        <w:pStyle w:val="4"/>
        <w:spacing w:line="560" w:lineRule="exact"/>
        <w:ind w:firstLine="640"/>
        <w:rPr>
          <w:rFonts w:hint="eastAsia" w:ascii="黑体" w:hAnsi="黑体" w:eastAsia="黑体" w:cs="黑体"/>
          <w:bCs/>
          <w:snapToGrid w:val="0"/>
          <w:kern w:val="0"/>
          <w:sz w:val="32"/>
          <w:szCs w:val="32"/>
        </w:rPr>
      </w:pPr>
      <w:r>
        <w:rPr>
          <w:rFonts w:hint="eastAsia" w:ascii="黑体" w:hAnsi="黑体" w:eastAsia="黑体" w:cs="黑体"/>
          <w:bCs/>
          <w:snapToGrid w:val="0"/>
          <w:kern w:val="0"/>
          <w:sz w:val="32"/>
          <w:szCs w:val="32"/>
        </w:rPr>
        <w:t>第三章 教研室的职责范围</w:t>
      </w:r>
    </w:p>
    <w:p>
      <w:pPr>
        <w:pStyle w:val="4"/>
        <w:spacing w:line="560" w:lineRule="exact"/>
        <w:ind w:firstLine="640"/>
        <w:jc w:val="left"/>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b/>
          <w:snapToGrid w:val="0"/>
          <w:kern w:val="0"/>
          <w:sz w:val="32"/>
          <w:szCs w:val="32"/>
        </w:rPr>
        <w:t>第七条</w:t>
      </w:r>
      <w:r>
        <w:rPr>
          <w:rFonts w:hint="eastAsia" w:ascii="仿宋_GB2312" w:hAnsi="仿宋_GB2312" w:eastAsia="仿宋_GB2312" w:cs="仿宋_GB2312"/>
          <w:snapToGrid w:val="0"/>
          <w:kern w:val="0"/>
          <w:sz w:val="32"/>
          <w:szCs w:val="32"/>
        </w:rPr>
        <w:t xml:space="preserve">  落实教学任务。教研室按照人才培养方案的要求，根据教务处教学工作计划与安排，完成各项教学任务。主要包括：落实课堂教学任务和课外辅导工作，完成教学中的实验实习环节；完成命题、阅卷任务；广泛与社会联系，完成学生学习期间的社会调查任务，指导毕业生的毕业实习、毕业论文（设计）。 </w:t>
      </w:r>
    </w:p>
    <w:p>
      <w:pPr>
        <w:pStyle w:val="4"/>
        <w:spacing w:line="560" w:lineRule="exact"/>
        <w:ind w:firstLine="640"/>
        <w:jc w:val="left"/>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b/>
          <w:snapToGrid w:val="0"/>
          <w:kern w:val="0"/>
          <w:sz w:val="32"/>
          <w:szCs w:val="32"/>
        </w:rPr>
        <w:t>第八条</w:t>
      </w:r>
      <w:r>
        <w:rPr>
          <w:rFonts w:hint="eastAsia" w:ascii="仿宋_GB2312" w:hAnsi="仿宋_GB2312" w:eastAsia="仿宋_GB2312" w:cs="仿宋_GB2312"/>
          <w:snapToGrid w:val="0"/>
          <w:kern w:val="0"/>
          <w:sz w:val="32"/>
          <w:szCs w:val="32"/>
        </w:rPr>
        <w:t xml:space="preserve">  实施课程建设工作。教研室是学院课程建设的主体，其主要的职责有：对照人才培养方案制定课程建设工作规划，按要求开展教学大纲的编写工作，积极申报和建设各级各类课程建设项目，开展教材选用和编写工作，引进或开发各类辅助教学工具与资源，参与与课程相关的实验室和资料室等辅助教学设施的建设。</w:t>
      </w:r>
    </w:p>
    <w:p>
      <w:pPr>
        <w:pStyle w:val="4"/>
        <w:spacing w:line="560" w:lineRule="exact"/>
        <w:ind w:firstLine="640"/>
        <w:jc w:val="left"/>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b/>
          <w:snapToGrid w:val="0"/>
          <w:kern w:val="0"/>
          <w:sz w:val="32"/>
          <w:szCs w:val="32"/>
        </w:rPr>
        <w:t>第九条</w:t>
      </w:r>
      <w:r>
        <w:rPr>
          <w:rFonts w:hint="eastAsia" w:ascii="仿宋_GB2312" w:hAnsi="仿宋_GB2312" w:eastAsia="仿宋_GB2312" w:cs="仿宋_GB2312"/>
          <w:snapToGrid w:val="0"/>
          <w:kern w:val="0"/>
          <w:sz w:val="32"/>
          <w:szCs w:val="32"/>
        </w:rPr>
        <w:t xml:space="preserve">  开展教学检查工作。在学校教务处和二级学院的相关工作要求下，开展期初、期中、期末的教学常规检查，积极配合开展试卷、毕业设计（论文）和实验室等专项检查，组织教师听课，开展学生座谈或调查，收集师生对课堂教学及课程建设等工作的意见，帮助、指导新任课教师和青年教师改进教学。做好各类检查材料的档案管理。</w:t>
      </w:r>
    </w:p>
    <w:p>
      <w:pPr>
        <w:pStyle w:val="4"/>
        <w:spacing w:line="560" w:lineRule="exact"/>
        <w:ind w:firstLine="640"/>
        <w:jc w:val="left"/>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b/>
          <w:snapToGrid w:val="0"/>
          <w:kern w:val="0"/>
          <w:sz w:val="32"/>
          <w:szCs w:val="32"/>
        </w:rPr>
        <w:t>第十条</w:t>
      </w:r>
      <w:r>
        <w:rPr>
          <w:rFonts w:hint="eastAsia" w:ascii="仿宋_GB2312" w:hAnsi="仿宋_GB2312" w:eastAsia="仿宋_GB2312" w:cs="仿宋_GB2312"/>
          <w:snapToGrid w:val="0"/>
          <w:kern w:val="0"/>
          <w:sz w:val="32"/>
          <w:szCs w:val="32"/>
        </w:rPr>
        <w:t xml:space="preserve">  组织教育教学交流和教学研讨活动。教研室应定期组织教师互相听课，开展示范教学和观摩教学；组织教师学习教育理论，总结交流教学情况和经验，通过集体研讨、解决教学活动中出现的各种问题，不断提高教学质量。</w:t>
      </w:r>
    </w:p>
    <w:p>
      <w:pPr>
        <w:pStyle w:val="4"/>
        <w:spacing w:line="560" w:lineRule="exact"/>
        <w:ind w:firstLine="640"/>
        <w:jc w:val="left"/>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b/>
          <w:snapToGrid w:val="0"/>
          <w:kern w:val="0"/>
          <w:sz w:val="32"/>
          <w:szCs w:val="32"/>
        </w:rPr>
        <w:t>第十一条</w:t>
      </w:r>
      <w:r>
        <w:rPr>
          <w:rFonts w:hint="eastAsia" w:ascii="仿宋_GB2312" w:hAnsi="仿宋_GB2312" w:eastAsia="仿宋_GB2312" w:cs="仿宋_GB2312"/>
          <w:snapToGrid w:val="0"/>
          <w:kern w:val="0"/>
          <w:sz w:val="32"/>
          <w:szCs w:val="32"/>
        </w:rPr>
        <w:t xml:space="preserve">  开展教育教学研究和各种学术性活动。制定教学研究的规划，组织教师积极申报各类教研科研项目，加强对课程的教学内容、教学手段和方法的研究，定期检查规划的落实情况；定期或不定期地组织有关学术讲座，组织教师参加学术交流，活跃学术氛围。</w:t>
      </w:r>
    </w:p>
    <w:p>
      <w:pPr>
        <w:pStyle w:val="4"/>
        <w:spacing w:line="560" w:lineRule="exact"/>
        <w:ind w:firstLine="640"/>
        <w:jc w:val="left"/>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b/>
          <w:snapToGrid w:val="0"/>
          <w:kern w:val="0"/>
          <w:sz w:val="32"/>
          <w:szCs w:val="32"/>
        </w:rPr>
        <w:t>第十二条</w:t>
      </w:r>
      <w:r>
        <w:rPr>
          <w:rFonts w:hint="eastAsia" w:ascii="仿宋_GB2312" w:hAnsi="仿宋_GB2312" w:eastAsia="仿宋_GB2312" w:cs="仿宋_GB2312"/>
          <w:snapToGrid w:val="0"/>
          <w:kern w:val="0"/>
          <w:sz w:val="32"/>
          <w:szCs w:val="32"/>
        </w:rPr>
        <w:t xml:space="preserve">  建设教师队伍。在学校和二级学院（中心）统筹安排下，教研室应根据专业建设、教育教学的要求，做好教师队伍建设规划和师资培训计划，指导教师明确教学方向、教学课程和科研方向，加强中青年教师和基础课教师的培养。配合学校和二级学院（中心）切实解决教师存在的各种实际困难，关心教师的身心健康。</w:t>
      </w:r>
    </w:p>
    <w:p>
      <w:pPr>
        <w:pStyle w:val="4"/>
        <w:spacing w:line="560" w:lineRule="exact"/>
        <w:ind w:firstLine="640"/>
        <w:jc w:val="left"/>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b/>
          <w:snapToGrid w:val="0"/>
          <w:kern w:val="0"/>
          <w:sz w:val="32"/>
          <w:szCs w:val="32"/>
        </w:rPr>
        <w:t>第十三条</w:t>
      </w:r>
      <w:r>
        <w:rPr>
          <w:rFonts w:hint="eastAsia" w:ascii="仿宋_GB2312" w:hAnsi="仿宋_GB2312" w:eastAsia="仿宋_GB2312" w:cs="仿宋_GB2312"/>
          <w:snapToGrid w:val="0"/>
          <w:kern w:val="0"/>
          <w:sz w:val="32"/>
          <w:szCs w:val="32"/>
        </w:rPr>
        <w:t xml:space="preserve">  开展社会服务。根据学科与专业的特点，加强与社会各相关职能部门、行业与企事业单位的联系，组织教研室人员承担社会公益性服务和合作服务，落实服务社会的功能。</w:t>
      </w:r>
    </w:p>
    <w:p>
      <w:pPr>
        <w:pStyle w:val="4"/>
        <w:spacing w:line="560" w:lineRule="exact"/>
        <w:ind w:firstLine="640"/>
        <w:rPr>
          <w:rFonts w:hint="eastAsia" w:ascii="黑体" w:hAnsi="黑体" w:eastAsia="黑体" w:cs="黑体"/>
          <w:bCs/>
          <w:snapToGrid w:val="0"/>
          <w:kern w:val="0"/>
          <w:sz w:val="32"/>
          <w:szCs w:val="32"/>
        </w:rPr>
      </w:pPr>
      <w:r>
        <w:rPr>
          <w:rFonts w:hint="eastAsia" w:ascii="黑体" w:hAnsi="黑体" w:eastAsia="黑体" w:cs="黑体"/>
          <w:bCs/>
          <w:snapToGrid w:val="0"/>
          <w:kern w:val="0"/>
          <w:sz w:val="32"/>
          <w:szCs w:val="32"/>
        </w:rPr>
        <w:t>第四章 教研室主任岗位设置及岗位职责</w:t>
      </w:r>
    </w:p>
    <w:p>
      <w:pPr>
        <w:pStyle w:val="4"/>
        <w:spacing w:line="560" w:lineRule="exact"/>
        <w:ind w:firstLine="640"/>
        <w:jc w:val="left"/>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b/>
          <w:snapToGrid w:val="0"/>
          <w:kern w:val="0"/>
          <w:sz w:val="32"/>
          <w:szCs w:val="32"/>
        </w:rPr>
        <w:t>第十四条</w:t>
      </w:r>
      <w:r>
        <w:rPr>
          <w:rFonts w:hint="eastAsia" w:ascii="仿宋_GB2312" w:hAnsi="仿宋_GB2312" w:eastAsia="仿宋_GB2312" w:cs="仿宋_GB2312"/>
          <w:snapToGrid w:val="0"/>
          <w:kern w:val="0"/>
          <w:sz w:val="32"/>
          <w:szCs w:val="32"/>
        </w:rPr>
        <w:t xml:space="preserve">  教研室主任是教研室教学与科研工作的组织者。教研室主任</w:t>
      </w:r>
      <w:r>
        <w:rPr>
          <w:rFonts w:hint="eastAsia" w:ascii="仿宋_GB2312" w:hAnsi="仿宋_GB2312" w:eastAsia="仿宋_GB2312" w:cs="仿宋_GB2312"/>
          <w:sz w:val="32"/>
          <w:szCs w:val="32"/>
        </w:rPr>
        <w:t>通过自荐、推荐、评议的方式选聘，</w:t>
      </w:r>
      <w:r>
        <w:rPr>
          <w:rFonts w:hint="eastAsia" w:ascii="仿宋_GB2312" w:hAnsi="仿宋_GB2312" w:eastAsia="仿宋_GB2312" w:cs="仿宋_GB2312"/>
          <w:snapToGrid w:val="0"/>
          <w:kern w:val="0"/>
          <w:sz w:val="32"/>
          <w:szCs w:val="32"/>
        </w:rPr>
        <w:t>由二级学院（中心）提名，经二级学院党政联席会议研究并经民主评议通过后报教务处和人事处审批、备案。</w:t>
      </w:r>
    </w:p>
    <w:p>
      <w:pPr>
        <w:pStyle w:val="4"/>
        <w:spacing w:line="560" w:lineRule="exact"/>
        <w:ind w:firstLine="640"/>
        <w:jc w:val="left"/>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b/>
          <w:snapToGrid w:val="0"/>
          <w:kern w:val="0"/>
          <w:sz w:val="32"/>
          <w:szCs w:val="32"/>
        </w:rPr>
        <w:t>第十五条</w:t>
      </w:r>
      <w:r>
        <w:rPr>
          <w:rFonts w:hint="eastAsia" w:ascii="仿宋_GB2312" w:hAnsi="仿宋_GB2312" w:eastAsia="仿宋_GB2312" w:cs="仿宋_GB2312"/>
          <w:snapToGrid w:val="0"/>
          <w:kern w:val="0"/>
          <w:sz w:val="32"/>
          <w:szCs w:val="32"/>
        </w:rPr>
        <w:t xml:space="preserve">  教研室主任聘期四年，可以连任。任职期间，如受到学校警告及以上处分的，即时解聘其教研室主任职务并启动新的教研室主任遴选工作。</w:t>
      </w:r>
    </w:p>
    <w:p>
      <w:pPr>
        <w:pStyle w:val="4"/>
        <w:spacing w:line="560" w:lineRule="exact"/>
        <w:ind w:firstLine="640"/>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b/>
          <w:snapToGrid w:val="0"/>
          <w:kern w:val="0"/>
          <w:sz w:val="32"/>
          <w:szCs w:val="32"/>
        </w:rPr>
        <w:t>第十六条</w:t>
      </w:r>
      <w:r>
        <w:rPr>
          <w:rFonts w:hint="eastAsia" w:ascii="仿宋_GB2312" w:hAnsi="仿宋_GB2312" w:eastAsia="仿宋_GB2312" w:cs="仿宋_GB2312"/>
          <w:snapToGrid w:val="0"/>
          <w:kern w:val="0"/>
          <w:sz w:val="32"/>
          <w:szCs w:val="32"/>
        </w:rPr>
        <w:t xml:space="preserve">  教研室主任的任职条件：</w:t>
      </w:r>
    </w:p>
    <w:p>
      <w:pPr>
        <w:pStyle w:val="4"/>
        <w:spacing w:line="560" w:lineRule="exact"/>
        <w:ind w:firstLine="640"/>
        <w:jc w:val="left"/>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snapToGrid w:val="0"/>
          <w:kern w:val="0"/>
          <w:sz w:val="32"/>
          <w:szCs w:val="32"/>
        </w:rPr>
        <w:t>（一）热爱教育事业，认真贯彻党的路线、方针、政策，具有较强的事业心、责任感和敬业精神，作风正派，治学严谨，善于团结同志。</w:t>
      </w:r>
    </w:p>
    <w:p>
      <w:pPr>
        <w:pStyle w:val="4"/>
        <w:spacing w:line="560" w:lineRule="exact"/>
        <w:ind w:firstLine="640"/>
        <w:jc w:val="left"/>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snapToGrid w:val="0"/>
          <w:kern w:val="0"/>
          <w:sz w:val="32"/>
          <w:szCs w:val="32"/>
        </w:rPr>
        <w:t>（二）具有较高的业务水平，能全面掌握本教研室所承担教学任务的情况，并在本学科领域中有较深的学术造诣和较高的管理水平。</w:t>
      </w:r>
    </w:p>
    <w:p>
      <w:pPr>
        <w:pStyle w:val="4"/>
        <w:spacing w:line="560" w:lineRule="exact"/>
        <w:ind w:firstLine="640"/>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snapToGrid w:val="0"/>
          <w:kern w:val="0"/>
          <w:sz w:val="32"/>
          <w:szCs w:val="32"/>
        </w:rPr>
        <w:t>（三）原则上应具有副教授及以上职称或具有博士学位。</w:t>
      </w:r>
    </w:p>
    <w:p>
      <w:pPr>
        <w:pStyle w:val="4"/>
        <w:spacing w:line="560" w:lineRule="exact"/>
        <w:ind w:firstLine="640"/>
        <w:jc w:val="both"/>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snapToGrid w:val="0"/>
          <w:kern w:val="0"/>
          <w:sz w:val="32"/>
          <w:szCs w:val="32"/>
        </w:rPr>
        <w:t>（四）从事过教学管理工作的在同等条件下优先考虑。</w:t>
      </w:r>
    </w:p>
    <w:p>
      <w:pPr>
        <w:pStyle w:val="4"/>
        <w:spacing w:line="560" w:lineRule="exact"/>
        <w:ind w:firstLine="640"/>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b/>
          <w:snapToGrid w:val="0"/>
          <w:kern w:val="0"/>
          <w:sz w:val="32"/>
          <w:szCs w:val="32"/>
        </w:rPr>
        <w:t>第十七条</w:t>
      </w:r>
      <w:r>
        <w:rPr>
          <w:rFonts w:hint="eastAsia" w:ascii="仿宋_GB2312" w:hAnsi="仿宋_GB2312" w:eastAsia="仿宋_GB2312" w:cs="仿宋_GB2312"/>
          <w:snapToGrid w:val="0"/>
          <w:kern w:val="0"/>
          <w:sz w:val="32"/>
          <w:szCs w:val="32"/>
        </w:rPr>
        <w:t xml:space="preserve">  教研室主任职责：</w:t>
      </w:r>
    </w:p>
    <w:p>
      <w:pPr>
        <w:pStyle w:val="4"/>
        <w:spacing w:line="560" w:lineRule="exact"/>
        <w:ind w:firstLine="640"/>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snapToGrid w:val="0"/>
          <w:kern w:val="0"/>
          <w:sz w:val="32"/>
          <w:szCs w:val="32"/>
        </w:rPr>
        <w:t>（一）根据二级学院（中心）的教学和科研任务，制定教研室工作计划，做好学期、学年工作计划、工作总结。</w:t>
      </w:r>
    </w:p>
    <w:p>
      <w:pPr>
        <w:pStyle w:val="4"/>
        <w:spacing w:line="560" w:lineRule="exact"/>
        <w:ind w:firstLine="640"/>
        <w:jc w:val="left"/>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snapToGrid w:val="0"/>
          <w:kern w:val="0"/>
          <w:sz w:val="32"/>
          <w:szCs w:val="32"/>
        </w:rPr>
        <w:t>（二）负责组织本教研室教师制定课程建设工作规划，按要求组织编写课程教学大纲。</w:t>
      </w:r>
    </w:p>
    <w:p>
      <w:pPr>
        <w:pStyle w:val="4"/>
        <w:spacing w:line="560" w:lineRule="exact"/>
        <w:ind w:firstLine="640"/>
        <w:jc w:val="left"/>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snapToGrid w:val="0"/>
          <w:kern w:val="0"/>
          <w:sz w:val="32"/>
          <w:szCs w:val="32"/>
        </w:rPr>
        <w:t>（三）负责本教研室教学任务的安排和实施，包括：审核开课教师名单，组织好新进教师、新开课程及开新课程教师的试讲工作，并提出初审意见；负责检查教师的备课、讲课、辅导、实验、教学进度和教学效果；审批考试题、标准答案和评分标准；抽查考卷，掌握评分情况；根据教学需要及学院下达的任务，组织有关教材征订、教学参考资料编写等工作。</w:t>
      </w:r>
    </w:p>
    <w:p>
      <w:pPr>
        <w:pStyle w:val="4"/>
        <w:spacing w:line="560" w:lineRule="exact"/>
        <w:ind w:firstLine="640"/>
        <w:jc w:val="left"/>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snapToGrid w:val="0"/>
          <w:kern w:val="0"/>
          <w:sz w:val="32"/>
          <w:szCs w:val="32"/>
        </w:rPr>
        <w:t>（四）负责本教研室的常规教学管理工作，按照要求做好期初、期中、期末三期检查和其他专项检查；组织本教研室教师开展观摩教学、教学经验交流、项目申报与建设等教学研究活动；负责组织和指导教师开展各类学术交流活动。</w:t>
      </w:r>
    </w:p>
    <w:p>
      <w:pPr>
        <w:pStyle w:val="4"/>
        <w:spacing w:line="560" w:lineRule="exact"/>
        <w:ind w:firstLine="640"/>
        <w:jc w:val="left"/>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snapToGrid w:val="0"/>
          <w:kern w:val="0"/>
          <w:sz w:val="32"/>
          <w:szCs w:val="32"/>
        </w:rPr>
        <w:t>（五）负责本教研室师资队伍建设，制定本教研室师资培训、进修计划，检查、考核教师的业务进修情况；加强对青年教师的培养和指导，指定专人负责青年教师的传、帮、带工作；对教研室全体成员进行经常性的职业道德教育和纪律教育，做好思想政治工作。</w:t>
      </w:r>
    </w:p>
    <w:p>
      <w:pPr>
        <w:pStyle w:val="4"/>
        <w:spacing w:line="560" w:lineRule="exact"/>
        <w:ind w:firstLine="640"/>
        <w:jc w:val="left"/>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snapToGrid w:val="0"/>
          <w:kern w:val="0"/>
          <w:sz w:val="32"/>
          <w:szCs w:val="32"/>
        </w:rPr>
        <w:t>（六）在学校及二级学院（中心）的指导下，对本教研室教师的开展各类考核，按要求形成相关意见并上报。</w:t>
      </w:r>
    </w:p>
    <w:p>
      <w:pPr>
        <w:pStyle w:val="4"/>
        <w:spacing w:line="560" w:lineRule="exact"/>
        <w:ind w:firstLine="640"/>
        <w:rPr>
          <w:rFonts w:hint="eastAsia" w:ascii="黑体" w:hAnsi="黑体" w:eastAsia="黑体" w:cs="黑体"/>
          <w:bCs/>
          <w:snapToGrid w:val="0"/>
          <w:kern w:val="0"/>
          <w:sz w:val="32"/>
          <w:szCs w:val="32"/>
        </w:rPr>
      </w:pPr>
      <w:r>
        <w:rPr>
          <w:rFonts w:hint="eastAsia" w:ascii="黑体" w:hAnsi="黑体" w:eastAsia="黑体" w:cs="黑体"/>
          <w:bCs/>
          <w:snapToGrid w:val="0"/>
          <w:kern w:val="0"/>
          <w:sz w:val="32"/>
          <w:szCs w:val="32"/>
        </w:rPr>
        <w:t>第五章 教研室工作管理和考核</w:t>
      </w:r>
    </w:p>
    <w:p>
      <w:pPr>
        <w:pStyle w:val="4"/>
        <w:spacing w:line="560" w:lineRule="exact"/>
        <w:ind w:firstLine="640"/>
        <w:jc w:val="left"/>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b/>
          <w:snapToGrid w:val="0"/>
          <w:kern w:val="0"/>
          <w:sz w:val="32"/>
          <w:szCs w:val="32"/>
        </w:rPr>
        <w:t>第十八条</w:t>
      </w:r>
      <w:r>
        <w:rPr>
          <w:rFonts w:hint="eastAsia" w:ascii="仿宋_GB2312" w:hAnsi="仿宋_GB2312" w:eastAsia="仿宋_GB2312" w:cs="仿宋_GB2312"/>
          <w:snapToGrid w:val="0"/>
          <w:kern w:val="0"/>
          <w:sz w:val="32"/>
          <w:szCs w:val="32"/>
        </w:rPr>
        <w:t xml:space="preserve">  教研室要建立例会制度，各教研室至少每两周开展一次教研活动。所属专任教师及“双肩挑”教师均须按要求参加教研室组织的各项活动。教研室活动要主题明确，解决实际问题，且注意问题的连贯性，同时做好过程档案材料的保存与管理。</w:t>
      </w:r>
    </w:p>
    <w:p>
      <w:pPr>
        <w:pStyle w:val="4"/>
        <w:spacing w:line="560" w:lineRule="exact"/>
        <w:ind w:firstLine="640"/>
        <w:jc w:val="left"/>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b/>
          <w:snapToGrid w:val="0"/>
          <w:kern w:val="0"/>
          <w:sz w:val="32"/>
          <w:szCs w:val="32"/>
        </w:rPr>
        <w:t>第十九条</w:t>
      </w:r>
      <w:r>
        <w:rPr>
          <w:rFonts w:hint="eastAsia" w:ascii="仿宋_GB2312" w:hAnsi="仿宋_GB2312" w:eastAsia="仿宋_GB2312" w:cs="仿宋_GB2312"/>
          <w:snapToGrid w:val="0"/>
          <w:kern w:val="0"/>
          <w:sz w:val="32"/>
          <w:szCs w:val="32"/>
        </w:rPr>
        <w:t xml:space="preserve">  二级学院（中心）建立教研室主任例会制度，每月至少召开一次教研室主任会议，研究讨论相关问题。</w:t>
      </w:r>
    </w:p>
    <w:p>
      <w:pPr>
        <w:pStyle w:val="4"/>
        <w:spacing w:line="560" w:lineRule="exact"/>
        <w:ind w:firstLine="640"/>
        <w:jc w:val="left"/>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b/>
          <w:snapToGrid w:val="0"/>
          <w:kern w:val="0"/>
          <w:sz w:val="32"/>
          <w:szCs w:val="32"/>
        </w:rPr>
        <w:t>第二十条</w:t>
      </w:r>
      <w:r>
        <w:rPr>
          <w:rFonts w:hint="eastAsia" w:ascii="仿宋_GB2312" w:hAnsi="仿宋_GB2312" w:eastAsia="仿宋_GB2312" w:cs="仿宋_GB2312"/>
          <w:snapToGrid w:val="0"/>
          <w:kern w:val="0"/>
          <w:sz w:val="32"/>
          <w:szCs w:val="32"/>
        </w:rPr>
        <w:t xml:space="preserve">  教研室工作的考核由二级学院（中心）实施，以教研室活动记录和活动成效为考核依据，参照年度绩效考核，对教研室主任履行职责及教师落实教学工作情况进行考核；根据实际情况决定教研室主任的任免。教务处、人事处和教学质量评估与督导中心采用不定期的方式对教研室工作进行专项抽查。</w:t>
      </w:r>
    </w:p>
    <w:p>
      <w:pPr>
        <w:pStyle w:val="4"/>
        <w:spacing w:line="560" w:lineRule="exact"/>
        <w:ind w:firstLine="640"/>
        <w:jc w:val="left"/>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b/>
          <w:snapToGrid w:val="0"/>
          <w:kern w:val="0"/>
          <w:sz w:val="32"/>
          <w:szCs w:val="32"/>
        </w:rPr>
        <w:t>第二十一条</w:t>
      </w:r>
      <w:r>
        <w:rPr>
          <w:rFonts w:hint="eastAsia" w:ascii="仿宋_GB2312" w:hAnsi="仿宋_GB2312" w:eastAsia="仿宋_GB2312" w:cs="仿宋_GB2312"/>
          <w:snapToGrid w:val="0"/>
          <w:kern w:val="0"/>
          <w:sz w:val="32"/>
          <w:szCs w:val="32"/>
        </w:rPr>
        <w:t xml:space="preserve">  对年度绩效考核合格的教研室主任，参照相关规定给予工作量认定。对工作成绩突出的教研室主任，在职称评聘、评先评优和选派出国等方面优先考虑。对考核不合格的教研室主任，即时解聘其教研室主任职务并启动新的教研室主任遴选工作。</w:t>
      </w:r>
    </w:p>
    <w:p>
      <w:pPr>
        <w:pStyle w:val="4"/>
        <w:spacing w:line="560" w:lineRule="exact"/>
        <w:ind w:firstLine="640"/>
        <w:rPr>
          <w:rFonts w:hint="eastAsia" w:ascii="黑体" w:hAnsi="黑体" w:eastAsia="黑体" w:cs="黑体"/>
          <w:bCs/>
          <w:snapToGrid w:val="0"/>
          <w:kern w:val="0"/>
          <w:sz w:val="32"/>
          <w:szCs w:val="32"/>
        </w:rPr>
      </w:pPr>
      <w:r>
        <w:rPr>
          <w:rFonts w:hint="eastAsia" w:ascii="黑体" w:hAnsi="黑体" w:eastAsia="黑体" w:cs="黑体"/>
          <w:bCs/>
          <w:snapToGrid w:val="0"/>
          <w:kern w:val="0"/>
          <w:sz w:val="32"/>
          <w:szCs w:val="32"/>
        </w:rPr>
        <w:t>第六章 附 则</w:t>
      </w:r>
    </w:p>
    <w:p>
      <w:pPr>
        <w:pStyle w:val="4"/>
        <w:spacing w:line="560" w:lineRule="exact"/>
        <w:ind w:firstLine="640"/>
        <w:jc w:val="left"/>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b/>
          <w:snapToGrid w:val="0"/>
          <w:kern w:val="0"/>
          <w:sz w:val="32"/>
          <w:szCs w:val="32"/>
        </w:rPr>
        <w:t>第二十二条</w:t>
      </w:r>
      <w:r>
        <w:rPr>
          <w:rFonts w:hint="eastAsia" w:ascii="仿宋_GB2312" w:hAnsi="仿宋_GB2312" w:eastAsia="仿宋_GB2312" w:cs="仿宋_GB2312"/>
          <w:snapToGrid w:val="0"/>
          <w:kern w:val="0"/>
          <w:sz w:val="32"/>
          <w:szCs w:val="32"/>
        </w:rPr>
        <w:t xml:space="preserve">  本办法自颁布之日起开始执行，原办法即日失效。</w:t>
      </w:r>
    </w:p>
    <w:p>
      <w:pPr>
        <w:pStyle w:val="4"/>
        <w:spacing w:line="560" w:lineRule="exact"/>
        <w:ind w:firstLine="640"/>
        <w:jc w:val="left"/>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b/>
          <w:snapToGrid w:val="0"/>
          <w:kern w:val="0"/>
          <w:sz w:val="32"/>
          <w:szCs w:val="32"/>
        </w:rPr>
        <w:t>第二十三条</w:t>
      </w:r>
      <w:r>
        <w:rPr>
          <w:rFonts w:hint="eastAsia" w:ascii="仿宋_GB2312" w:hAnsi="仿宋_GB2312" w:eastAsia="仿宋_GB2312" w:cs="仿宋_GB2312"/>
          <w:snapToGrid w:val="0"/>
          <w:kern w:val="0"/>
          <w:sz w:val="32"/>
          <w:szCs w:val="32"/>
        </w:rPr>
        <w:t xml:space="preserve">  本办法由教务处负责解释。</w:t>
      </w:r>
    </w:p>
    <w:p>
      <w:bookmarkStart w:id="1" w:name="_GoBack"/>
      <w:bookmarkEnd w:id="1"/>
    </w:p>
    <w:p>
      <w:pPr>
        <w:widowControl/>
        <w:shd w:val="clear" w:color="auto" w:fill="FFFFFF"/>
        <w:spacing w:line="560" w:lineRule="exact"/>
        <w:jc w:val="left"/>
        <w:rPr>
          <w:rFonts w:hint="eastAsia" w:eastAsia="仿宋_GB2312" w:cs="Calibri"/>
          <w:color w:val="000000"/>
          <w:kern w:val="0"/>
          <w:sz w:val="32"/>
          <w:szCs w:val="32"/>
        </w:rPr>
      </w:pPr>
    </w:p>
    <w:p>
      <w:pPr>
        <w:widowControl/>
        <w:shd w:val="clear" w:color="auto" w:fill="FFFFFF"/>
        <w:spacing w:line="560" w:lineRule="exact"/>
        <w:jc w:val="left"/>
        <w:rPr>
          <w:rFonts w:hint="eastAsia" w:eastAsia="仿宋_GB2312" w:cs="Calibri"/>
          <w:color w:val="000000"/>
          <w:kern w:val="0"/>
          <w:sz w:val="32"/>
          <w:szCs w:val="32"/>
        </w:rPr>
      </w:pPr>
    </w:p>
    <w:p>
      <w:pPr>
        <w:widowControl/>
        <w:shd w:val="clear" w:color="auto" w:fill="FFFFFF"/>
        <w:spacing w:line="560" w:lineRule="exact"/>
        <w:jc w:val="left"/>
        <w:rPr>
          <w:rFonts w:hint="eastAsia" w:eastAsia="仿宋_GB2312" w:cs="Calibri"/>
          <w:color w:val="000000"/>
          <w:kern w:val="0"/>
          <w:sz w:val="32"/>
          <w:szCs w:val="32"/>
        </w:rPr>
      </w:pPr>
    </w:p>
    <w:p>
      <w:pPr>
        <w:widowControl/>
        <w:shd w:val="clear" w:color="auto" w:fill="FFFFFF"/>
        <w:spacing w:line="560" w:lineRule="exact"/>
        <w:jc w:val="left"/>
        <w:rPr>
          <w:rFonts w:hint="eastAsia" w:eastAsia="仿宋_GB2312" w:cs="Calibri"/>
          <w:color w:val="000000"/>
          <w:kern w:val="0"/>
          <w:sz w:val="32"/>
          <w:szCs w:val="32"/>
        </w:rPr>
      </w:pPr>
    </w:p>
    <w:p>
      <w:pPr>
        <w:widowControl/>
        <w:shd w:val="clear" w:color="auto" w:fill="FFFFFF"/>
        <w:spacing w:line="560" w:lineRule="exact"/>
        <w:jc w:val="left"/>
        <w:rPr>
          <w:rFonts w:hint="eastAsia" w:eastAsia="仿宋_GB2312" w:cs="Calibri"/>
          <w:color w:val="000000"/>
          <w:kern w:val="0"/>
          <w:sz w:val="32"/>
          <w:szCs w:val="32"/>
        </w:rPr>
      </w:pPr>
    </w:p>
    <w:p>
      <w:pPr>
        <w:widowControl/>
        <w:shd w:val="clear" w:color="auto" w:fill="FFFFFF"/>
        <w:spacing w:line="560" w:lineRule="exact"/>
        <w:jc w:val="left"/>
        <w:rPr>
          <w:rFonts w:hint="eastAsia" w:eastAsia="仿宋_GB2312" w:cs="Calibri"/>
          <w:color w:val="000000"/>
          <w:kern w:val="0"/>
          <w:sz w:val="32"/>
          <w:szCs w:val="32"/>
        </w:rPr>
      </w:pPr>
    </w:p>
    <w:p>
      <w:pPr>
        <w:widowControl/>
        <w:shd w:val="clear" w:color="auto" w:fill="FFFFFF"/>
        <w:spacing w:line="560" w:lineRule="exact"/>
        <w:jc w:val="left"/>
        <w:rPr>
          <w:rFonts w:hint="eastAsia" w:eastAsia="仿宋_GB2312" w:cs="Calibri"/>
          <w:color w:val="000000"/>
          <w:kern w:val="0"/>
          <w:sz w:val="32"/>
          <w:szCs w:val="32"/>
        </w:rPr>
      </w:pPr>
    </w:p>
    <w:p>
      <w:pPr>
        <w:widowControl/>
        <w:shd w:val="clear" w:color="auto" w:fill="FFFFFF"/>
        <w:spacing w:line="560" w:lineRule="exact"/>
        <w:jc w:val="left"/>
        <w:rPr>
          <w:rFonts w:hint="eastAsia" w:eastAsia="仿宋_GB2312" w:cs="Calibri"/>
          <w:color w:val="000000"/>
          <w:kern w:val="0"/>
          <w:sz w:val="32"/>
          <w:szCs w:val="32"/>
        </w:rPr>
      </w:pPr>
    </w:p>
    <w:p>
      <w:pPr>
        <w:widowControl/>
        <w:shd w:val="clear" w:color="auto" w:fill="FFFFFF"/>
        <w:spacing w:line="560" w:lineRule="exact"/>
        <w:jc w:val="left"/>
        <w:rPr>
          <w:rFonts w:hint="eastAsia" w:eastAsia="仿宋_GB2312" w:cs="Calibri"/>
          <w:color w:val="000000"/>
          <w:kern w:val="0"/>
          <w:sz w:val="32"/>
          <w:szCs w:val="32"/>
        </w:rPr>
      </w:pPr>
    </w:p>
    <w:p>
      <w:pPr>
        <w:widowControl/>
        <w:shd w:val="clear" w:color="auto" w:fill="FFFFFF"/>
        <w:spacing w:line="560" w:lineRule="exact"/>
        <w:jc w:val="left"/>
        <w:rPr>
          <w:rFonts w:hint="eastAsia" w:eastAsia="仿宋_GB2312" w:cs="Calibri"/>
          <w:color w:val="000000"/>
          <w:kern w:val="0"/>
          <w:sz w:val="32"/>
          <w:szCs w:val="32"/>
        </w:rPr>
      </w:pPr>
    </w:p>
    <w:p>
      <w:pPr>
        <w:widowControl/>
        <w:shd w:val="clear" w:color="auto" w:fill="FFFFFF"/>
        <w:spacing w:line="560" w:lineRule="exact"/>
        <w:jc w:val="left"/>
        <w:rPr>
          <w:rFonts w:hint="eastAsia" w:eastAsia="仿宋_GB2312" w:cs="Calibri"/>
          <w:color w:val="000000"/>
          <w:kern w:val="0"/>
          <w:sz w:val="32"/>
          <w:szCs w:val="32"/>
        </w:rPr>
      </w:pPr>
    </w:p>
    <w:p>
      <w:pPr>
        <w:widowControl/>
        <w:shd w:val="clear" w:color="auto" w:fill="FFFFFF"/>
        <w:spacing w:line="560" w:lineRule="exact"/>
        <w:jc w:val="left"/>
        <w:rPr>
          <w:rFonts w:hint="eastAsia" w:eastAsia="仿宋_GB2312" w:cs="Calibri"/>
          <w:color w:val="000000"/>
          <w:kern w:val="0"/>
          <w:sz w:val="32"/>
          <w:szCs w:val="32"/>
        </w:rPr>
      </w:pPr>
    </w:p>
    <w:p>
      <w:pPr>
        <w:widowControl/>
        <w:shd w:val="clear" w:color="auto" w:fill="FFFFFF"/>
        <w:spacing w:line="560" w:lineRule="exact"/>
        <w:jc w:val="left"/>
        <w:rPr>
          <w:rFonts w:hint="eastAsia" w:eastAsia="仿宋_GB2312" w:cs="Calibri"/>
          <w:color w:val="000000"/>
          <w:kern w:val="0"/>
          <w:sz w:val="32"/>
          <w:szCs w:val="32"/>
        </w:rPr>
      </w:pPr>
    </w:p>
    <w:p>
      <w:pPr>
        <w:widowControl/>
        <w:shd w:val="clear" w:color="auto" w:fill="FFFFFF"/>
        <w:spacing w:line="560" w:lineRule="exact"/>
        <w:jc w:val="left"/>
        <w:rPr>
          <w:rFonts w:hint="eastAsia" w:eastAsia="仿宋_GB2312" w:cs="Calibri"/>
          <w:color w:val="000000"/>
          <w:kern w:val="0"/>
          <w:sz w:val="32"/>
          <w:szCs w:val="32"/>
        </w:rPr>
      </w:pPr>
    </w:p>
    <w:p>
      <w:pPr>
        <w:widowControl/>
        <w:shd w:val="clear" w:color="auto" w:fill="FFFFFF"/>
        <w:spacing w:line="560" w:lineRule="exact"/>
        <w:jc w:val="left"/>
        <w:rPr>
          <w:rFonts w:hint="eastAsia" w:eastAsia="仿宋_GB2312" w:cs="Calibri"/>
          <w:color w:val="000000"/>
          <w:kern w:val="0"/>
          <w:sz w:val="32"/>
          <w:szCs w:val="32"/>
        </w:rPr>
      </w:pPr>
    </w:p>
    <w:p>
      <w:pPr>
        <w:widowControl/>
        <w:shd w:val="clear" w:color="auto" w:fill="FFFFFF"/>
        <w:spacing w:line="560" w:lineRule="exact"/>
        <w:jc w:val="left"/>
        <w:rPr>
          <w:rFonts w:hint="eastAsia" w:eastAsia="仿宋_GB2312" w:cs="Calibri"/>
          <w:color w:val="000000"/>
          <w:kern w:val="0"/>
          <w:sz w:val="32"/>
          <w:szCs w:val="32"/>
        </w:rPr>
      </w:pPr>
    </w:p>
    <w:p>
      <w:pPr>
        <w:widowControl/>
        <w:shd w:val="clear" w:color="auto" w:fill="FFFFFF"/>
        <w:spacing w:line="560" w:lineRule="exact"/>
        <w:jc w:val="left"/>
        <w:rPr>
          <w:rFonts w:hint="eastAsia" w:eastAsia="仿宋_GB2312" w:cs="Calibri"/>
          <w:color w:val="000000"/>
          <w:kern w:val="0"/>
          <w:sz w:val="32"/>
          <w:szCs w:val="32"/>
        </w:rPr>
      </w:pPr>
    </w:p>
    <w:p>
      <w:pPr>
        <w:widowControl/>
        <w:shd w:val="clear" w:color="auto" w:fill="FFFFFF"/>
        <w:spacing w:line="560" w:lineRule="exact"/>
        <w:jc w:val="left"/>
        <w:rPr>
          <w:rFonts w:hint="eastAsia" w:eastAsia="仿宋_GB2312" w:cs="Calibri"/>
          <w:color w:val="000000"/>
          <w:kern w:val="0"/>
          <w:sz w:val="32"/>
          <w:szCs w:val="32"/>
        </w:rPr>
      </w:pPr>
    </w:p>
    <w:p>
      <w:pPr>
        <w:widowControl/>
        <w:shd w:val="clear" w:color="auto" w:fill="FFFFFF"/>
        <w:spacing w:line="560" w:lineRule="exact"/>
        <w:jc w:val="left"/>
        <w:rPr>
          <w:rFonts w:hint="eastAsia" w:eastAsia="仿宋_GB2312" w:cs="Calibri"/>
          <w:color w:val="000000"/>
          <w:kern w:val="0"/>
          <w:sz w:val="32"/>
          <w:szCs w:val="32"/>
        </w:rPr>
      </w:pPr>
    </w:p>
    <w:p>
      <w:pPr>
        <w:widowControl/>
        <w:shd w:val="clear" w:color="auto" w:fill="FFFFFF"/>
        <w:spacing w:line="560" w:lineRule="exact"/>
        <w:jc w:val="left"/>
        <w:rPr>
          <w:rFonts w:hint="eastAsia" w:eastAsia="仿宋_GB2312" w:cs="Calibri"/>
          <w:color w:val="000000"/>
          <w:kern w:val="0"/>
          <w:sz w:val="32"/>
          <w:szCs w:val="32"/>
        </w:rPr>
      </w:pPr>
    </w:p>
    <w:p>
      <w:pPr>
        <w:widowControl/>
        <w:shd w:val="clear" w:color="auto" w:fill="FFFFFF"/>
        <w:spacing w:line="560" w:lineRule="exact"/>
        <w:jc w:val="left"/>
        <w:rPr>
          <w:rFonts w:hint="eastAsia" w:eastAsia="仿宋_GB2312" w:cs="Calibri"/>
          <w:color w:val="000000"/>
          <w:kern w:val="0"/>
          <w:sz w:val="32"/>
          <w:szCs w:val="32"/>
        </w:rPr>
      </w:pPr>
    </w:p>
    <w:p>
      <w:pPr>
        <w:widowControl/>
        <w:shd w:val="clear" w:color="auto" w:fill="FFFFFF"/>
        <w:spacing w:line="560" w:lineRule="exact"/>
        <w:jc w:val="left"/>
        <w:rPr>
          <w:rFonts w:hint="eastAsia" w:eastAsia="仿宋_GB2312" w:cs="Calibri"/>
          <w:color w:val="000000"/>
          <w:kern w:val="0"/>
          <w:sz w:val="32"/>
          <w:szCs w:val="32"/>
        </w:rPr>
      </w:pPr>
    </w:p>
    <w:p>
      <w:pPr>
        <w:widowControl/>
        <w:shd w:val="clear" w:color="auto" w:fill="FFFFFF"/>
        <w:spacing w:line="560" w:lineRule="exact"/>
        <w:jc w:val="left"/>
        <w:rPr>
          <w:rFonts w:hint="eastAsia" w:eastAsia="仿宋_GB2312" w:cs="Calibri"/>
          <w:color w:val="000000"/>
          <w:kern w:val="0"/>
          <w:sz w:val="32"/>
          <w:szCs w:val="32"/>
        </w:rPr>
      </w:pPr>
    </w:p>
    <w:p>
      <w:pPr>
        <w:widowControl/>
        <w:shd w:val="clear" w:color="auto" w:fill="FFFFFF"/>
        <w:spacing w:line="560" w:lineRule="exact"/>
        <w:jc w:val="left"/>
        <w:rPr>
          <w:rFonts w:hint="eastAsia" w:eastAsia="仿宋_GB2312" w:cs="Calibri"/>
          <w:color w:val="000000"/>
          <w:kern w:val="0"/>
          <w:sz w:val="32"/>
          <w:szCs w:val="32"/>
        </w:rPr>
      </w:pPr>
    </w:p>
    <w:p>
      <w:pPr>
        <w:widowControl/>
        <w:shd w:val="clear" w:color="auto" w:fill="FFFFFF"/>
        <w:spacing w:line="560" w:lineRule="exact"/>
        <w:jc w:val="left"/>
        <w:rPr>
          <w:rFonts w:hint="eastAsia" w:eastAsia="仿宋_GB2312" w:cs="Calibri"/>
          <w:color w:val="000000"/>
          <w:kern w:val="0"/>
          <w:sz w:val="32"/>
          <w:szCs w:val="32"/>
        </w:rPr>
      </w:pPr>
    </w:p>
    <w:p>
      <w:pPr>
        <w:widowControl/>
        <w:shd w:val="clear" w:color="auto" w:fill="FFFFFF"/>
        <w:spacing w:line="560" w:lineRule="exact"/>
        <w:jc w:val="left"/>
        <w:rPr>
          <w:rFonts w:hint="eastAsia" w:eastAsia="仿宋_GB2312" w:cs="Calibri"/>
          <w:color w:val="000000"/>
          <w:kern w:val="0"/>
          <w:sz w:val="32"/>
          <w:szCs w:val="32"/>
        </w:rPr>
      </w:pPr>
    </w:p>
    <w:p>
      <w:pPr>
        <w:widowControl/>
        <w:shd w:val="clear" w:color="auto" w:fill="FFFFFF"/>
        <w:spacing w:line="560" w:lineRule="exact"/>
        <w:jc w:val="left"/>
        <w:rPr>
          <w:rFonts w:hint="eastAsia" w:eastAsia="仿宋_GB2312" w:cs="Calibri"/>
          <w:color w:val="000000"/>
          <w:kern w:val="0"/>
          <w:sz w:val="32"/>
          <w:szCs w:val="32"/>
        </w:rPr>
      </w:pPr>
    </w:p>
    <w:p>
      <w:pPr>
        <w:spacing w:line="560" w:lineRule="exact"/>
        <w:ind w:firstLine="640" w:firstLineChars="200"/>
        <w:jc w:val="left"/>
        <w:rPr>
          <w:rFonts w:hint="eastAsia" w:ascii="仿宋_GB2312" w:eastAsia="仿宋_GB2312"/>
          <w:color w:val="000000"/>
          <w:sz w:val="32"/>
          <w:szCs w:val="32"/>
        </w:rPr>
      </w:pPr>
      <w:r>
        <w:rPr>
          <w:rFonts w:ascii="仿宋_GB2312" w:hAnsi="宋体" w:eastAsia="仿宋_GB2312"/>
          <w:color w:val="000000"/>
          <w:sz w:val="32"/>
          <w:szCs w:val="32"/>
        </w:rPr>
        <w:pict>
          <v:line id="直线 2" o:spid="_x0000_s1028" o:spt="20" style="position:absolute;left:0pt;margin-left:-1.8pt;margin-top:25.65pt;height:0pt;width:435.75pt;z-index:251661312;mso-width-relative:page;mso-height-relative:page;" filled="f" coordsize="21600,21600">
            <v:path arrowok="t"/>
            <v:fill on="f" focussize="0,0"/>
            <v:stroke/>
            <v:imagedata o:title=""/>
            <o:lock v:ext="edit" grouping="f" rotation="f" text="f" aspectratio="f"/>
          </v:line>
        </w:pict>
      </w:r>
    </w:p>
    <w:p>
      <w:pPr>
        <w:spacing w:line="560" w:lineRule="exact"/>
        <w:ind w:firstLine="320" w:firstLineChars="1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新余学院办公室                 2019年12月23日印发</w:t>
      </w:r>
    </w:p>
    <w:p>
      <w:pPr>
        <w:spacing w:line="560" w:lineRule="exact"/>
        <w:ind w:firstLine="640" w:firstLineChars="200"/>
        <w:rPr>
          <w:rFonts w:hint="eastAsia" w:ascii="宋体" w:hAnsi="宋体"/>
          <w:color w:val="000000"/>
          <w:sz w:val="24"/>
        </w:rPr>
      </w:pPr>
      <w:r>
        <w:rPr>
          <w:rFonts w:ascii="仿宋_GB2312" w:eastAsia="仿宋_GB2312"/>
          <w:color w:val="000000"/>
          <w:sz w:val="32"/>
          <w:szCs w:val="32"/>
        </w:rPr>
        <w:pict>
          <v:line id="_x0000_s1029" o:spid="_x0000_s1029" o:spt="20" style="position:absolute;left:0pt;margin-left:-2.95pt;margin-top:1.2pt;height:0pt;width:435.75pt;z-index:251660288;mso-width-relative:page;mso-height-relative:page;" filled="f" coordsize="21600,21600">
            <v:path arrowok="t"/>
            <v:fill on="f" focussize="0,0"/>
            <v:stroke/>
            <v:imagedata o:title=""/>
            <o:lock v:ext="edit" grouping="f" rotation="f" text="f" aspectratio="f"/>
          </v:line>
        </w:pict>
      </w:r>
      <w:r>
        <w:rPr>
          <w:rFonts w:hint="eastAsia" w:ascii="仿宋_GB2312" w:eastAsia="仿宋_GB2312"/>
          <w:color w:val="000000"/>
          <w:sz w:val="32"/>
          <w:szCs w:val="32"/>
        </w:rPr>
        <w:t xml:space="preserve">     </w:t>
      </w:r>
    </w:p>
    <w:p>
      <w:pPr>
        <w:rPr>
          <w:rFonts w:hint="eastAsia"/>
        </w:rPr>
      </w:pPr>
    </w:p>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Arial Unicode MS"/>
    <w:panose1 w:val="03000509000000000000"/>
    <w:charset w:val="86"/>
    <w:family w:val="roma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文本框 2" o:spid="_x0000_s2049" o:spt="202" type="#_x0000_t202" style="position:absolute;left:0pt;margin-top:0pt;height:144pt;width:144pt;mso-position-horizontal:outside;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7"/>
                  <w:rPr>
                    <w:rStyle w:val="13"/>
                    <w:rFonts w:hint="eastAsia" w:ascii="宋体" w:hAnsi="宋体" w:cs="宋体"/>
                    <w:sz w:val="28"/>
                    <w:szCs w:val="28"/>
                  </w:rPr>
                </w:pPr>
                <w:r>
                  <w:rPr>
                    <w:rFonts w:hint="eastAsia" w:ascii="宋体" w:hAnsi="宋体" w:cs="宋体"/>
                    <w:sz w:val="28"/>
                    <w:szCs w:val="28"/>
                  </w:rPr>
                  <w:fldChar w:fldCharType="begin"/>
                </w:r>
                <w:r>
                  <w:rPr>
                    <w:rStyle w:val="13"/>
                    <w:rFonts w:hint="eastAsia" w:ascii="宋体" w:hAnsi="宋体" w:cs="宋体"/>
                    <w:sz w:val="28"/>
                    <w:szCs w:val="28"/>
                  </w:rPr>
                  <w:instrText xml:space="preserve">PAGE  </w:instrText>
                </w:r>
                <w:r>
                  <w:rPr>
                    <w:rFonts w:hint="eastAsia" w:ascii="宋体" w:hAnsi="宋体" w:cs="宋体"/>
                    <w:sz w:val="28"/>
                    <w:szCs w:val="28"/>
                  </w:rPr>
                  <w:fldChar w:fldCharType="separate"/>
                </w:r>
                <w:r>
                  <w:rPr>
                    <w:rStyle w:val="13"/>
                    <w:rFonts w:ascii="宋体" w:hAnsi="宋体" w:cs="宋体"/>
                    <w:sz w:val="28"/>
                    <w:szCs w:val="28"/>
                  </w:rPr>
                  <w:t>- 1 -</w:t>
                </w:r>
                <w:r>
                  <w:rPr>
                    <w:rFonts w:hint="eastAsia" w:ascii="宋体" w:hAnsi="宋体" w:cs="宋体"/>
                    <w:sz w:val="28"/>
                    <w:szCs w:val="28"/>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文本框 3" o:spid="_x0000_s2050"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7"/>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- 1 -</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4C4258"/>
    <w:rsid w:val="00011E5C"/>
    <w:rsid w:val="0017545F"/>
    <w:rsid w:val="001A0914"/>
    <w:rsid w:val="001E0272"/>
    <w:rsid w:val="00200B57"/>
    <w:rsid w:val="00254080"/>
    <w:rsid w:val="0029629E"/>
    <w:rsid w:val="003115C7"/>
    <w:rsid w:val="00387F7D"/>
    <w:rsid w:val="003A343B"/>
    <w:rsid w:val="00454F70"/>
    <w:rsid w:val="004710E5"/>
    <w:rsid w:val="00561092"/>
    <w:rsid w:val="006354CA"/>
    <w:rsid w:val="00697AEE"/>
    <w:rsid w:val="006A7054"/>
    <w:rsid w:val="007322B1"/>
    <w:rsid w:val="00757723"/>
    <w:rsid w:val="0076418B"/>
    <w:rsid w:val="00780171"/>
    <w:rsid w:val="00783B76"/>
    <w:rsid w:val="00844649"/>
    <w:rsid w:val="009179D8"/>
    <w:rsid w:val="00931452"/>
    <w:rsid w:val="00967B01"/>
    <w:rsid w:val="00994C9E"/>
    <w:rsid w:val="00A36461"/>
    <w:rsid w:val="00A64D7F"/>
    <w:rsid w:val="00A70DAC"/>
    <w:rsid w:val="00AB5B34"/>
    <w:rsid w:val="00AB6273"/>
    <w:rsid w:val="00AB7620"/>
    <w:rsid w:val="00AD4498"/>
    <w:rsid w:val="00AD612C"/>
    <w:rsid w:val="00AF79DF"/>
    <w:rsid w:val="00BB38E5"/>
    <w:rsid w:val="00C334BC"/>
    <w:rsid w:val="00CC5B66"/>
    <w:rsid w:val="00D458DA"/>
    <w:rsid w:val="00D6040A"/>
    <w:rsid w:val="00D83558"/>
    <w:rsid w:val="00E01A78"/>
    <w:rsid w:val="00E8678B"/>
    <w:rsid w:val="00EB420B"/>
    <w:rsid w:val="00F14C4D"/>
    <w:rsid w:val="054C4258"/>
    <w:rsid w:val="08FE262A"/>
    <w:rsid w:val="12F038A2"/>
    <w:rsid w:val="157A254B"/>
    <w:rsid w:val="235776C9"/>
    <w:rsid w:val="4EA01E3D"/>
    <w:rsid w:val="613A70E8"/>
    <w:rsid w:val="6C1C2578"/>
    <w:rsid w:val="738046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after="330" w:afterLines="0" w:line="578" w:lineRule="auto"/>
      <w:outlineLvl w:val="0"/>
    </w:pPr>
    <w:rPr>
      <w:b/>
      <w:bCs/>
      <w:kern w:val="44"/>
      <w:sz w:val="44"/>
      <w:szCs w:val="44"/>
    </w:rPr>
  </w:style>
  <w:style w:type="paragraph" w:styleId="3">
    <w:name w:val="heading 2"/>
    <w:basedOn w:val="1"/>
    <w:next w:val="1"/>
    <w:link w:val="15"/>
    <w:qFormat/>
    <w:uiPriority w:val="0"/>
    <w:pPr>
      <w:keepNext/>
      <w:keepLines/>
      <w:spacing w:before="260" w:beforeLines="0" w:after="260" w:afterLines="0" w:line="413" w:lineRule="auto"/>
      <w:outlineLvl w:val="1"/>
    </w:pPr>
    <w:rPr>
      <w:rFonts w:ascii="Arial" w:hAnsi="Arial" w:eastAsia="黑体"/>
      <w:b/>
      <w:bCs/>
      <w:kern w:val="2"/>
      <w:sz w:val="32"/>
      <w:szCs w:val="32"/>
      <w:lang w:val="en-US" w:eastAsia="zh-CN" w:bidi="ar-SA"/>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4">
    <w:name w:val="Body Text Indent"/>
    <w:basedOn w:val="1"/>
    <w:uiPriority w:val="0"/>
    <w:pPr>
      <w:ind w:firstLine="560" w:firstLineChars="200"/>
      <w:jc w:val="center"/>
    </w:pPr>
    <w:rPr>
      <w:sz w:val="28"/>
    </w:rPr>
  </w:style>
  <w:style w:type="paragraph" w:styleId="5">
    <w:name w:val="Date"/>
    <w:basedOn w:val="1"/>
    <w:next w:val="1"/>
    <w:uiPriority w:val="0"/>
    <w:pPr>
      <w:ind w:left="100" w:leftChars="2500"/>
    </w:pPr>
  </w:style>
  <w:style w:type="paragraph" w:styleId="6">
    <w:name w:val="Balloon Text"/>
    <w:basedOn w:val="1"/>
    <w:uiPriority w:val="0"/>
    <w:rPr>
      <w:sz w:val="18"/>
      <w:szCs w:val="18"/>
    </w:rPr>
  </w:style>
  <w:style w:type="paragraph" w:styleId="7">
    <w:name w:val="footer"/>
    <w:basedOn w:val="1"/>
    <w:uiPriority w:val="0"/>
    <w:pPr>
      <w:tabs>
        <w:tab w:val="center" w:pos="4153"/>
        <w:tab w:val="right" w:pos="8306"/>
      </w:tabs>
      <w:snapToGrid w:val="0"/>
      <w:jc w:val="left"/>
    </w:pPr>
    <w:rPr>
      <w:sz w:val="18"/>
      <w:szCs w:val="18"/>
    </w:rPr>
  </w:style>
  <w:style w:type="paragraph" w:styleId="8">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uiPriority w:val="0"/>
    <w:pPr>
      <w:widowControl/>
      <w:spacing w:before="100" w:beforeLines="0" w:beforeAutospacing="1" w:after="100" w:afterLines="0" w:afterAutospacing="1"/>
      <w:jc w:val="left"/>
    </w:pPr>
    <w:rPr>
      <w:rFonts w:ascii="宋体" w:hAnsi="宋体" w:cs="宋体"/>
      <w:kern w:val="0"/>
      <w:sz w:val="24"/>
    </w:rPr>
  </w:style>
  <w:style w:type="character" w:styleId="12">
    <w:name w:val="Strong"/>
    <w:basedOn w:val="11"/>
    <w:qFormat/>
    <w:uiPriority w:val="0"/>
    <w:rPr>
      <w:rFonts w:ascii="Calibri" w:hAnsi="Calibri" w:eastAsia="宋体" w:cs="Times New Roman"/>
      <w:b/>
    </w:rPr>
  </w:style>
  <w:style w:type="character" w:styleId="13">
    <w:name w:val="page number"/>
    <w:basedOn w:val="11"/>
    <w:uiPriority w:val="0"/>
    <w:rPr>
      <w:rFonts w:ascii="Times New Roman" w:hAnsi="Times New Roman" w:eastAsia="宋体" w:cs="Times New Roman"/>
    </w:rPr>
  </w:style>
  <w:style w:type="paragraph" w:customStyle="1" w:styleId="14">
    <w:name w:val="Char"/>
    <w:basedOn w:val="1"/>
    <w:uiPriority w:val="0"/>
  </w:style>
  <w:style w:type="character" w:customStyle="1" w:styleId="15">
    <w:name w:val="标题 2 Char"/>
    <w:basedOn w:val="11"/>
    <w:link w:val="3"/>
    <w:uiPriority w:val="0"/>
    <w:rPr>
      <w:rFonts w:ascii="Arial" w:hAnsi="Arial" w:eastAsia="黑体" w:cs="Times New Roman"/>
      <w:b/>
      <w:bCs/>
      <w:kern w:val="2"/>
      <w:sz w:val="32"/>
      <w:szCs w:val="3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Info spid="_x0000_s2050" textRotate="1"/>
    <customShpInfo spid="_x0000_s1026"/>
    <customShpInfo spid="_x0000_s1027"/>
    <customShpInfo spid="_x0000_s1028"/>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2019-12-26T03:21:00Z</dcterms:created>
  <dc:creator>Administrator</dc:creator>
  <cp:lastModifiedBy>Administrator</cp:lastModifiedBy>
  <dcterms:modified xsi:type="dcterms:W3CDTF">2019-12-26T03:33:59Z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2052-11.1.0.9198</vt:lpwstr>
  </property>
</Properties>
</file>